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Ревматология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Ревматология | Записей: 2</w:t>
      </w:r>
    </w:p>
    <w:p>
      <w:r>
        <w:br w:type="page"/>
      </w:r>
    </w:p>
    <w:p>
      <w:pPr>
        <w:pStyle w:val="Heading1"/>
      </w:pPr>
      <w:r>
        <w:t>Ревматология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Ревматология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68 лет обратился в поликлинику к ревматологу.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боли в плечевых суставах с обеих сторон, боль в шее, скованность более 2 часов, снижение фона настроения, подавленность, похудение на 5 кг за 2-3 месяца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Заболела 5 месяцев назад, когда появилась боль с ограничением функции обоих плечевых суставов. Принимала периодически диклофенак по 50 мг с небольшим эффектом. Боль постепенно усиливалась, стало трудно одеваться, появилась скованность к концу ночи и утром не менее 2 часов. Стала печальной, подавленной из-за своего состояния, снизился вес. В поликлинику уже обращалась. Поставлен диагноз остеоартроза плечевых суставов, назначен препарат Дона.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нормально.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 нет.</w:t>
      </w:r>
    </w:p>
    <w:p>
      <w:pPr>
        <w:spacing w:after="58"/>
      </w:pPr>
      <w:r>
        <w:rPr>
          <w:b w:val="0"/>
          <w:i w:val="0"/>
        </w:rPr>
        <w:t>* Наследственность не отягощена.</w:t>
      </w:r>
    </w:p>
    <w:p>
      <w:pPr>
        <w:spacing w:after="58"/>
      </w:pPr>
      <w:r>
        <w:rPr>
          <w:b w:val="0"/>
          <w:i w:val="0"/>
        </w:rPr>
        <w:t>* Вредные привычки: не курит, алкоголь не употребляет.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Температура тела 37,2ºС.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бледные.</w:t>
      </w:r>
    </w:p>
    <w:p>
      <w:pPr>
        <w:spacing w:after="58"/>
      </w:pPr>
      <w:r>
        <w:rPr>
          <w:b w:val="0"/>
          <w:i w:val="0"/>
        </w:rPr>
        <w:t>* Отмечается ограничение объема активных и пассивных движений плечевых суставов, боль при пальпации шейного отдела позвоночника, плечевых суставов.</w:t>
      </w:r>
    </w:p>
    <w:p>
      <w:pPr>
        <w:spacing w:after="58"/>
      </w:pPr>
      <w:r>
        <w:rPr>
          <w:b w:val="0"/>
          <w:i w:val="0"/>
        </w:rPr>
        <w:t>* В легких дыхание везикулярное, хрипов нет. ЧД=18 в мин.</w:t>
      </w:r>
    </w:p>
    <w:p>
      <w:pPr>
        <w:spacing w:after="58"/>
      </w:pPr>
      <w:r>
        <w:rPr>
          <w:b w:val="0"/>
          <w:i w:val="0"/>
        </w:rPr>
        <w:t>* Тоны сердца несколько приглушены, шумов нет, ритм правильный.</w:t>
      </w:r>
    </w:p>
    <w:p>
      <w:pPr>
        <w:spacing w:after="58"/>
      </w:pPr>
      <w:r>
        <w:rPr>
          <w:b w:val="0"/>
          <w:i w:val="0"/>
        </w:rPr>
        <w:t>* ЧСС=84 в мин. АД=135 и 80 мм рт.ст.</w:t>
      </w:r>
    </w:p>
    <w:p>
      <w:pPr>
        <w:spacing w:after="58"/>
      </w:pPr>
      <w:r>
        <w:rPr>
          <w:b w:val="0"/>
          <w:i w:val="0"/>
        </w:rPr>
        <w:t>* Живот при пальпации мягкий, безболезненный.</w:t>
      </w:r>
    </w:p>
    <w:p>
      <w:pPr>
        <w:spacing w:after="58"/>
      </w:pPr>
      <w:r>
        <w:rPr>
          <w:b w:val="0"/>
          <w:i w:val="0"/>
        </w:rPr>
        <w:t>* Печень, селезенка не увеличены.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диагноза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антител к дезоксирибонуклеиновой кислоте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исследование ревматоидного фактора, антител к циклическому цитрулинированному пептиду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антинейтрофильных цитоплазматических антител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антифосфолипидных антител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исследование уровня СОЭ и СРБ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антинуклеарных антител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исследование ревматоидного фактора, антител к циклическому цитрулинированному пептиду; исследование уровня СОЭ и СРБ</w:t>
      </w:r>
    </w:p>
    <w:p>
      <w:pPr>
        <w:ind w:left="504"/>
      </w:pPr>
      <w:r>
        <w:rPr>
          <w:b w:val="0"/>
          <w:i/>
        </w:rPr>
        <w:t>Классификационные критерии ревматической полимиалгии включают балльную оценку нескольких критериев, среди которых отсутствие ревматоидного фактора и/или антител к циклическому цитруллинированному пептиду.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Повышение СОЭ и концентрация СРБ отражают локальный и системный воспалительный процесс при ревматической полимиалгии, входят в число диагностических классификационных критериев.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Исследование ревматоидного фактора, антител к циклическому цитрулинированному пептиду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Исследование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Единицы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Ревматоидный фактор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10,0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МЕ/мл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&lt;30,0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Антитела к циклическому цитруллинированному пептиду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МЕ/мл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&lt;5,0</w:t>
            </w:r>
          </w:p>
        </w:tc>
      </w:tr>
    </w:tbl>
    <w:p/>
    <w:p>
      <w:pPr>
        <w:pStyle w:val="Heading3"/>
      </w:pPr>
      <w:r>
        <w:t>3.2. Исследование уровня СОЭ и СРБ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Исследование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Единицы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СОЭ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мм/ч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&lt; 15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С - реактивный белок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мг/л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0,0 – 5,0</w:t>
            </w:r>
          </w:p>
        </w:tc>
      </w:tr>
    </w:tbl>
    <w:p/>
    <w:p>
      <w:pPr>
        <w:pStyle w:val="Heading3"/>
      </w:pPr>
      <w:r>
        <w:t>3.3. Определение антифосфолипидных антител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Исследование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Единицы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анти- ß₂-гликопротеин I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ЕД/мл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4 - 20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Антитела к кардиолипину IgG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GPL/MPL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&lt;40</w:t>
            </w:r>
          </w:p>
        </w:tc>
      </w:tr>
    </w:tbl>
    <w:p/>
    <w:p>
      <w:pPr>
        <w:pStyle w:val="Heading3"/>
      </w:pPr>
      <w:r>
        <w:t>3.4. Определение антинейтрофильных цитоплазматических антител</w:t>
      </w:r>
    </w:p>
    <w:p>
      <w:pPr>
        <w:spacing w:after="58"/>
      </w:pPr>
      <w:r>
        <w:rPr>
          <w:b w:val="0"/>
          <w:i w:val="0"/>
        </w:rPr>
        <w:t>АНЦА методом НРИФ - отрицательный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постановки диагноза ревматической полимиалгии необходимо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рентгенографии шейного отдела позвоночника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рентгенографии плечевых суставов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магнитно-резонансной томографии плечевого сустава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ультразвукового исследования плечевого сустава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ультразвукового исследования плечевого сустава</w:t>
      </w:r>
    </w:p>
    <w:p>
      <w:pPr>
        <w:ind w:left="504"/>
      </w:pPr>
      <w:r>
        <w:rPr>
          <w:b w:val="0"/>
          <w:i/>
        </w:rPr>
        <w:t>УЗ-критерии ревматической полимиалгии: по крайней мере одно плечо с субдельтовидным бурситом, и/или теносиновитом бицепса, и/или плече-лопаточным синовитом (задним или подмышечным) и по крайней мере синовитом одного плечевого сустава и/или трохантерным бурситом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Ультразвуковое исследование плечевого сустава</w:t>
      </w:r>
    </w:p>
    <w:p>
      <w:pPr>
        <w:spacing w:after="58"/>
      </w:pPr>
      <w:r>
        <w:rPr>
          <w:b w:val="0"/>
          <w:i w:val="0"/>
        </w:rPr>
        <w:t>Выявлен синовит и трохантерный бурсит справа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результатов клинико-лабораторных и инструментальных методов обследования больной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Паранеопластическая артропатия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Ревматоидный артрит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Ревматическая полимиалгия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Остеоартрит плечевых суставов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Ревматическая полимиалгия</w:t>
      </w:r>
    </w:p>
    <w:p>
      <w:pPr>
        <w:ind w:left="504"/>
      </w:pPr>
      <w:r>
        <w:rPr>
          <w:b w:val="0"/>
          <w:i/>
        </w:rPr>
        <w:t>Диагностические критерии РП:</w:t>
        <w:br/>
        <w:br/>
        <w:t>* двухсторонняя боль и/или скованность в плечевых суставах</w:t>
        <w:br/>
        <w:br/>
        <w:t>* возникновение пика заболевания менее чем за 2 недели</w:t>
        <w:br/>
        <w:br/>
        <w:t>* СОЭ в начале болезни не менее 40 мм/час (по Вестергрену)</w:t>
        <w:br/>
        <w:br/>
        <w:t>* Длительность утренней скованности более 1 часа</w:t>
        <w:br/>
        <w:br/>
        <w:t>* Возраст начала болезни ≥ 65 лет</w:t>
        <w:br/>
        <w:br/>
        <w:t>* Депрессия и/или снижение массы тела</w:t>
        <w:br/>
        <w:br/>
        <w:t>* Двухсторонняя болезненность верхних конечностей.</w:t>
        <w:br/>
        <w:br/>
        <w:t>Диагноз РП считается достоверным при наличии по крайней мере трех любых из перечисленных выше признаков (чувствительность – 92%, специфичность – 80%).</w:t>
        <w:br/>
        <w:br/>
        <w:t>Классификационные критерии РП включают балльную оценку следующих критериев: при наличии (возраста ≥ 50 лет, двухсторонней боли в плечах, увеличенной СОЭ, повышенного уровня СРБ).</w:t>
        <w:br/>
        <w:br/>
        <w:t>* утренняя скованность ≥ 45 мин (2 балла)</w:t>
        <w:br/>
        <w:br/>
        <w:t>* боль в плече/ограничение диапазона движений (1 балл)</w:t>
        <w:br/>
        <w:br/>
        <w:t>* отсутствие РФ и/или АЦЦП (2 балла)</w:t>
        <w:br/>
        <w:br/>
        <w:t>* отсутствие периферической боли в суставах (1 балл)</w:t>
        <w:br/>
        <w:br/>
        <w:t>* УЗ-критерии РП (1 балл).</w:t>
        <w:br/>
        <w:br/>
        <w:t>Диагноз РП без УЗ-критерия требует по крайней мере 4 баллов или более, при наличии УЗ-критерия – по крайней мере 5 баллов или более.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Ревматическая полимиалгия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 факторам риска неблагоприятных исходов ревматической полимиалгии относят СОЭ более +______+ мм/час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&gt; 40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&gt; 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&gt; 50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≥ 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&gt; 40</w:t>
      </w:r>
    </w:p>
    <w:p>
      <w:pPr>
        <w:ind w:left="504"/>
      </w:pPr>
      <w:r>
        <w:rPr>
          <w:b w:val="0"/>
          <w:i/>
        </w:rPr>
        <w:t>Факторы риска рецидива заболевания и потребность в длительной терапии в настоящее время окончательно не установлены. Основные предполагаемые факторы: женский пол, высокий показатель СОЭ (&gt; 40 мм/час) и периферический артрит.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С ревматической полимиалгией часто сочетается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артериит Такаясу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болезнь Кавасаки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вариабельный васкулит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гигантоклеточный артериит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гигантоклеточный артериит</w:t>
      </w:r>
    </w:p>
    <w:p>
      <w:pPr>
        <w:ind w:left="504"/>
      </w:pPr>
      <w:r>
        <w:rPr>
          <w:b w:val="0"/>
          <w:i/>
        </w:rPr>
        <w:t>Гигантоклеточный артериит, часто гранулематозный, с поражением аорты и/или ее главных ветвей, преимущественно сонных и позвоночной артерий, с частым поражением височной артерии. Как правило, развивается у пациентов старше 50 лет и часто сочетается с ревматической полимиалгией.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Гигантоклеточный артериит относится к васкулитам с поражением сосудов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среднего калибра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мелкого калибра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крупного калибра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единственного органа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крупного калибра</w:t>
      </w:r>
    </w:p>
    <w:p>
      <w:pPr>
        <w:ind w:left="504"/>
      </w:pPr>
      <w:r>
        <w:rPr>
          <w:b w:val="0"/>
          <w:i/>
        </w:rPr>
        <w:t>Классификация системных васкулитов относит гигантоклеточный артериит (болезнь Хортона) к васкулитам с поражением сосудов крупного калибра, наряду с неспецифическим аортоартеритом.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Лечение больных с ревматической полимиалгией должен проводить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врач-невролог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врач-ревматолог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 общей практики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врач участковый терапевт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врач-ревматолог</w:t>
      </w:r>
    </w:p>
    <w:p>
      <w:pPr>
        <w:ind w:left="504"/>
      </w:pPr>
      <w:r>
        <w:rPr>
          <w:b w:val="0"/>
          <w:i/>
        </w:rPr>
        <w:t>Лечение больных с ревматической полимиалгией должен проводить врач-ревматолог (в виде исключения – врач общей практики, но при консультативной поддержке врача-ревматолога) с привлечением других специалистов (кардиолога, эндокринолога, невролога, офтальмолога) и оно должно основываться на тесном взаимодействии врача и пациента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Основная терапия ревматической полимиалгии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метотрексатом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азатиоприном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диклофенаком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глюкокортикоидами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глюкокортикоидами</w:t>
      </w:r>
    </w:p>
    <w:p>
      <w:pPr>
        <w:ind w:left="504"/>
      </w:pPr>
      <w:r>
        <w:rPr>
          <w:b w:val="0"/>
          <w:i/>
        </w:rPr>
        <w:t>Основное место в лечении ревматической полимиалгии занимает терапия глюкокортикоидами. Для большинства пациентов без сочетания с гигантоклеточным артериитом достаточно назначения преднизолона в дозе 10-20 мг/сут или эквивалентной дозы метилпреднизолона. Лечение подразделяется на несколько этапов: начальную терапию (индукцию ремиссии), поддерживающую терапию (снижение дозы), период отмены глюкокортикоидов.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 стероидсберегающим препаратам при лечении ревматической полимиалгии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мофетила микофеналат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гидроксихлорохин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лефлюномид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метотрексат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метотрексат</w:t>
      </w:r>
    </w:p>
    <w:p>
      <w:pPr>
        <w:ind w:left="504"/>
      </w:pPr>
      <w:r>
        <w:rPr>
          <w:b w:val="0"/>
          <w:i/>
        </w:rPr>
        <w:t>Цель стероидсберегающей терапии – уменьшить продолжительность приема и кумулятивную дозу ГК, тем самым снизить риск нежелательных лекарственных реакций ГК. Применение метотрексата в дозе 10 мг/нед в комбинации с преднизолоном дает стероидсберегающий эффект, уменьшает количество рецидивов, повышает число случаев прекращения лечения преднизолоном.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рефрактерном к терапии глюкокортикоидами течении ревматической полимиалгии назначают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бенлиста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ритуксимаб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тоцилизумаб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тофацитиниб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тоцилизумаб</w:t>
      </w:r>
    </w:p>
    <w:p>
      <w:pPr>
        <w:ind w:left="504"/>
      </w:pPr>
      <w:r>
        <w:rPr>
          <w:b w:val="0"/>
          <w:i/>
        </w:rPr>
        <w:t>При рефрактерном ГК-течении ревматической полимиалгии и наличии противопоказаний к длительному применению ГК целесообразно назначение тоцилизумаба.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НПВП применяются для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уменьшения боли, связанной с сопутствующими заболеваниями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снижения уровня воспалительных тестов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cнижения дозы глюкокортикоидов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уменьшения симптомов основного заболевания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уменьшения боли, связанной с сопутствующими заболеваниями</w:t>
      </w:r>
    </w:p>
    <w:p>
      <w:pPr>
        <w:ind w:left="504"/>
      </w:pPr>
      <w:r>
        <w:rPr>
          <w:b w:val="0"/>
          <w:i/>
        </w:rPr>
        <w:t>Для уменьшения болей, связанных с сопутствующими заболеваниями (остеохондрозом, артрозом) возможно применение НПВП, которые дают хороший симптоматический эффект, но не оказывают влияния на воспалительный процесс, обусловленный основным заболеванием.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сочетании ревматической полимиалгии с гигантоклеточным артериитом с поражением глаз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ремикейд (инфликсимаб)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актембру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пульс-терапию метилпреднизолоном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пульc-терапию циклофосфаном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пульс-терапию метилпреднизолоном</w:t>
      </w:r>
    </w:p>
    <w:p>
      <w:pPr>
        <w:ind w:left="504"/>
      </w:pPr>
      <w:r>
        <w:rPr>
          <w:b w:val="0"/>
          <w:i/>
        </w:rPr>
        <w:t>При сочетании РП с ГКА применяют более высокие дозы ГК внутрь, а также при поражении глаз (передней ишемической невропатии зрительного нерва и др) проводят пульс-терапию метилпреднизолоном.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Ревматология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Ревматология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68 лет обратилась в поликлинику к врачу-ревматологу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*</w:t>
        <w:tab/>
        <w:t>На ограничение подвижности, припухание и боль в дистальных межфаланговых суставах обеих кистей, которые усиливаются к концу дня и ночью;</w:t>
        <w:br/>
        <w:t>*</w:t>
        <w:tab/>
        <w:t>сильные боли в коленных суставах  при ходьбе (особенно при спуске по лестнице);</w:t>
        <w:br/>
        <w:t>*</w:t>
        <w:tab/>
        <w:t>припухлость коленных суставов (более выраженная справа), ограничение движений в них.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</w:t>
        <w:tab/>
        <w:t>Появление болей в суставах связывает с механической нагрузкой, в покое боли стихают.</w:t>
        <w:br/>
        <w:t>*</w:t>
        <w:tab/>
        <w:t>Кроме того, в последние три года больная отмечает появление плотных симметричных узловатых утолщений в области дистальных межфаланговых суставов обеих кистей и II проксимального межфалангового сустава справа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Росла и развивалась нормально.</w:t>
        <w:br/>
        <w:t>*</w:t>
        <w:tab/>
        <w:t>Перенесенные заболевания и операции: удаление левого яичника по поводу кисты, удаление миоматозных узлов матки.</w:t>
        <w:br/>
        <w:t>*</w:t>
        <w:tab/>
        <w:t>Наследственность: мать страдает остеохондрозом позвоночника много лет, болят суставы рук.</w:t>
        <w:br/>
        <w:t>*</w:t>
        <w:tab/>
        <w:t>Вредные привычки: не курит, алкоголь не употребляет.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</w:t>
        <w:tab/>
        <w:t>Состояние относительно удовлетворительное.</w:t>
        <w:br/>
        <w:t>*</w:t>
        <w:tab/>
        <w:t>Повышенного питания, ИМТ 33,0 кг/м2.</w:t>
        <w:br/>
        <w:t>*</w:t>
        <w:tab/>
        <w:t>Кожные покровы и видимые слизистые обычной окраски.</w:t>
        <w:br/>
        <w:t>*</w:t>
        <w:tab/>
        <w:t>В легких дыхание везикулярное. ЧД 18 в мин.</w:t>
        <w:br/>
        <w:t>*</w:t>
        <w:tab/>
        <w:t>Границы сердца не изменены. Тоны сердца приглушены, ритмичные. ЧСС 70 ударов в мин. АД 150/90 мм рт.ст.</w:t>
        <w:br/>
        <w:t>*</w:t>
        <w:tab/>
        <w:t>Живот мягкий, безболезненный.</w:t>
        <w:br/>
        <w:t>*</w:t>
        <w:tab/>
        <w:t>Присутствуют узловатые плотные утолщения в области дистальных и проксимальных межфаланговых суставов обеих кистей, пальцы деформированы, подвижность в этих суставах ограничена.</w:t>
        <w:br/>
        <w:t>*</w:t>
        <w:tab/>
        <w:t>Правый коленный сустав увеличен в объеме, деформирован, местное повышение температуры, болезненность при пальпации, крепитация при пассивных движениях.</w:t>
      </w:r>
    </w:p>
    <w:p>
      <w:r>
        <w:drawing>
          <wp:inline xmlns:a="http://schemas.openxmlformats.org/drawingml/2006/main" xmlns:pic="http://schemas.openxmlformats.org/drawingml/2006/picture">
            <wp:extent cx="5303520" cy="3346681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5148d86cbe52428cc0e3b144ea6b7a44b5c0c4a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4668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hands.jpg</w:t>
      </w:r>
    </w:p>
    <w:p>
      <w:r>
        <w:drawing>
          <wp:inline xmlns:a="http://schemas.openxmlformats.org/drawingml/2006/main" xmlns:pic="http://schemas.openxmlformats.org/drawingml/2006/picture">
            <wp:extent cx="5303520" cy="3779026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b8036c385d490b0df6a55b0b464911003e39971.jp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77902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 2.jpg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лабораторным методам обследования, необходимым для постановки диагноза,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циркулирующие иммунные комплексы и иммуноглобулины IgG, IgA, IgM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антитела к циклическому цитруллинированному пептиду (АЦЦП) и антинуклеарный фактор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клинический анализ крови, С - реактивный белок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ревматоидный фактор и мочевая кислота (в сыворотке)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олигомерный матриксный белок хряща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уровень комплемента и ревматоидный фактор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антитела к циклическому цитруллинированному пептиду (АЦЦП) и антинуклеарный фактор; клинический анализ крови, С - реактивный белок; ревматоидный фактор и мочевая кислота (в сыворотке)</w:t>
      </w:r>
    </w:p>
    <w:p>
      <w:pPr>
        <w:ind w:left="504"/>
      </w:pPr>
      <w:r>
        <w:rPr>
          <w:b w:val="0"/>
          <w:i/>
        </w:rPr>
        <w:t>Рекомендовано, пациентам с ОА с сопутствующим поражением мелких суставов кисти и стопы, для дифференциальной диагностики ОА с ревматическими заболеваниями выполнить:</w:t>
        <w:br/>
        <w:br/>
        <w:t>*</w:t>
        <w:tab/>
        <w:t>определение содержания ревматоидного фактора (РФ) в крови</w:t>
        <w:br/>
        <w:t>*</w:t>
        <w:tab/>
        <w:t>антитела к циклическому цитруллиновому пептиду (АЦЦП)</w:t>
        <w:br/>
        <w:t>*</w:t>
        <w:tab/>
        <w:t>исследование уровня мочевой кислоты в крови</w:t>
        <w:br/>
        <w:br/>
      </w:r>
      <w:hyperlink r:id="rId23">
        <w:r>
          <w:rPr>
            <w:color w:val="0F766E"/>
            <w:u w:val="single"/>
          </w:rPr>
          <w:t>Клинические рекомендации Минздрава России. Гонартроз, 2021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Рекомендовано, пациентам с ОА и с синовитом коленного сустава для исключения воспаления выполнить:</w:t>
        <w:br/>
        <w:br/>
        <w:t>* исследование скорости оседания эритроцитов (СОЭ)</w:t>
        <w:br/>
        <w:br/>
        <w:t>Гонартроз. Клинические рекомендации. Ассоциация травматологов-ортопедов России, Ассоциация ревматологов России, 2021</w:t>
        <w:br/>
        <w:br/>
      </w:r>
      <w:hyperlink r:id="rId23">
        <w:r>
          <w:rPr>
            <w:color w:val="0F766E"/>
            <w:u w:val="single"/>
          </w:rPr>
          <w:t>Клинические рекомендации Минздрава России. Гонартроз, 2021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Рекомендовано, пациентам с ОА с сопутствующим поражением мелких суставов кисти и стопы, для дифференциальной диагностики ОА с ревматическими заболеваниями выполнить:</w:t>
        <w:br/>
        <w:br/>
        <w:t>*</w:t>
        <w:tab/>
        <w:t>определение содержания ревматоидного фактора (РФ) в крови</w:t>
        <w:br/>
        <w:t>*</w:t>
        <w:tab/>
        <w:t>антитела к циклическому цитруллиновому пептиду (АЦЦП)</w:t>
        <w:br/>
        <w:t>*</w:t>
        <w:tab/>
        <w:t>исследование уровня мочевой кислоты в крови</w:t>
        <w:br/>
        <w:br/>
      </w:r>
      <w:hyperlink r:id="rId23">
        <w:r>
          <w:rPr>
            <w:color w:val="0F766E"/>
            <w:u w:val="single"/>
          </w:rPr>
          <w:t>Клинические рекомендации Минздрава России. Гонартроз, 2021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Клинический анализ крови, С - реактивный белок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Исследование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Единицы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Референсные значения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Гематокрит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41,4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39,0 - 49,0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Гемоглобин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120 - 140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3,9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млн/мкл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4,30 - 5,70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Тромбоциты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355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тыс/мкл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150 - 400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6,9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тыс/мкл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4,50 - 11,00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Нейтрофилы (общ, число), 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68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48,0 - 78,0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Лимфоциты, 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19,0 - 37,0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Моноциты, 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1%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3,0 - 11,0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Эозинофилы, 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1,0 - 5,0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Базофилы, 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&lt; 1,0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СОЭ (по Вестергрену)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8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мм/ч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&lt; 15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С - реактивный белок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мг/л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0,0 - 5,0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/>
        </w:tc>
      </w:tr>
    </w:tbl>
    <w:p/>
    <w:p>
      <w:pPr>
        <w:pStyle w:val="Heading3"/>
      </w:pPr>
      <w:r>
        <w:t>3.2. Ревматоидный фактор и мочевая кислота (в сыворотке)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*Исследование*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*Результат*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*Единицы*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*Референсные значения*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Ревматоидный фактор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&lt;20,0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МЕд/мл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&lt;30,0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Мочевая кислота в сыворотке крови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мкмоль/л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155,0 - 428,0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/>
        </w:tc>
      </w:tr>
    </w:tbl>
    <w:p/>
    <w:p>
      <w:pPr>
        <w:pStyle w:val="Heading3"/>
      </w:pPr>
      <w:r>
        <w:t>3.3. Антитела к циклическому цитруллинированному пептиду (АЦЦП) и антинуклеарный фактор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Исследование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Единицы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Референсные значения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Ревматоидный фактор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28,0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МЕ/мл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&lt;30,0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Антитела к циклическому цитруллинированному пептиду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МЕ/мл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&lt;5,0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/>
        </w:tc>
      </w:tr>
    </w:tbl>
    <w:p/>
    <w:p>
      <w:pPr>
        <w:pStyle w:val="Heading3"/>
      </w:pPr>
      <w:r>
        <w:t>3.6. Уровень комплемента и ревматоидный фактор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Исследование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Единицы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Референсные значения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Ревматоидный фактор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28,0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МЕ/мл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&lt;30,0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Общий комплемент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42,0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ед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Более 40,0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/>
        </w:tc>
      </w:tr>
    </w:tbl>
    <w:p/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постановки диагноза следует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гониометрию коленных суставов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рентгенографию пораженных суставов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диагностическую артроскопию коленных суставов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артрореографию коленных суставов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рентгенографию пораженных суставов</w:t>
      </w:r>
    </w:p>
    <w:p>
      <w:pPr>
        <w:ind w:left="504"/>
      </w:pPr>
      <w:r>
        <w:rPr>
          <w:b w:val="0"/>
          <w:i/>
        </w:rPr>
        <w:t>Рентгенологическое исследование - наиболее достоверный метод диагностики остеоартроза.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дополнительных методов обследования</w:t>
      </w:r>
    </w:p>
    <w:p>
      <w:pPr>
        <w:pStyle w:val="Heading3"/>
      </w:pPr>
      <w:r>
        <w:t>5.1. Рентгенография пораженных суставов</w:t>
      </w:r>
    </w:p>
    <w:p>
      <w:r>
        <w:drawing>
          <wp:inline xmlns:a="http://schemas.openxmlformats.org/drawingml/2006/main" xmlns:pic="http://schemas.openxmlformats.org/drawingml/2006/picture">
            <wp:extent cx="5303520" cy="4589239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129a0f6915cda0d64c7d8a805b346b421f159c4.jp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58923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r1.jpg</w:t>
      </w:r>
    </w:p>
    <w:p>
      <w:pPr>
        <w:spacing w:after="58"/>
      </w:pPr>
      <w:r>
        <w:rPr>
          <w:b w:val="0"/>
          <w:i w:val="0"/>
        </w:rPr>
        <w:t>{nbsp}</w:t>
      </w:r>
    </w:p>
    <w:p>
      <w:r>
        <w:drawing>
          <wp:inline xmlns:a="http://schemas.openxmlformats.org/drawingml/2006/main" xmlns:pic="http://schemas.openxmlformats.org/drawingml/2006/picture">
            <wp:extent cx="5303520" cy="652029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cc6c99a7c1c08f9f27de15f9bf24a76bc326afe.jp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652029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r2.jpg</w:t>
      </w:r>
    </w:p>
    <w:p>
      <w:pPr>
        <w:spacing w:after="58"/>
      </w:pPr>
      <w:r>
        <w:rPr>
          <w:b w:val="0"/>
          <w:i w:val="0"/>
        </w:rPr>
        <w:t>На обзорной рентгенограмме обеих кистей и прицельной рентгенографии проксимальных и дистальных межфаланговых суставов правой кисти в прямой проекции с прямым увеличением изображения, определяются умеренно выраженные остеофиты, деформация краев суставных поверхностей, значительное сужение суставных щелей, остеосклероз в дистальных межфаланговых суставах, кисты со склеротическим ободком, краевые дефекты суставных поверхностей. Выраженные изменения 2 и 3-го дистальных и 2-го проксимального межфаланговых суставов с симптомом «перевёрнутого Т» и «летящей чайки».</w:t>
      </w:r>
    </w:p>
    <w:p>
      <w:r>
        <w:drawing>
          <wp:inline xmlns:a="http://schemas.openxmlformats.org/drawingml/2006/main" xmlns:pic="http://schemas.openxmlformats.org/drawingml/2006/picture">
            <wp:extent cx="5303520" cy="7329328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1afb390548f13e160b3b86e8cb5ee6c0a4fc230.jp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732932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r3.jpg</w:t>
      </w:r>
    </w:p>
    <w:p>
      <w:pPr>
        <w:spacing w:after="58"/>
      </w:pPr>
      <w:r>
        <w:rPr>
          <w:b w:val="0"/>
          <w:i w:val="0"/>
        </w:rPr>
        <w:t>{nbsp}</w:t>
      </w:r>
    </w:p>
    <w:p>
      <w:r>
        <w:drawing>
          <wp:inline xmlns:a="http://schemas.openxmlformats.org/drawingml/2006/main" xmlns:pic="http://schemas.openxmlformats.org/drawingml/2006/picture">
            <wp:extent cx="5303520" cy="8259128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aefd4dd77c66a1d16142ed1e662ab2c018bb0c1.jp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825912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r4.jpg</w:t>
      </w:r>
    </w:p>
    <w:p>
      <w:pPr>
        <w:spacing w:after="58"/>
      </w:pPr>
      <w:r>
        <w:rPr>
          <w:b w:val="0"/>
          <w:i w:val="0"/>
        </w:rPr>
        <w:t>На рентгенограмме правого коленного сустава в прямой и боковой проекциях определяется сужение суставной щели, уплощение суставных поверхностей внутреннего мыщелка. Остеофиты на боковых, передних и задних краях суставных поверхностей. Остеохондроматоз в заворотах сустава, окостенение передней крестообразной связки у большеберцовой кости.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Данной больной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Первичный генерализованный остеоартроз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Хронический хондрокальциноз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Ревматоидный артрит серонегативный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Хронический подагрический артрит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Первичный генерализованный остеоартроз</w:t>
      </w:r>
    </w:p>
    <w:p>
      <w:pPr>
        <w:ind w:left="504"/>
      </w:pPr>
      <w:r>
        <w:rPr>
          <w:b w:val="0"/>
          <w:i/>
        </w:rPr>
        <w:t>Согласно диагностическим критериям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Первичный генерализованный остеоартроз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Немедикаментозная терапия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массаж кистей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обучение пациентки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тейпирование внутренней части колена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эластичное бинтование коленных суставов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обучение пациентки</w:t>
      </w:r>
    </w:p>
    <w:p>
      <w:pPr>
        <w:ind w:left="504"/>
      </w:pPr>
      <w:r>
        <w:rPr>
          <w:b w:val="0"/>
          <w:i/>
        </w:rPr>
        <w:t>Обучение больных - обязательный компонент всех терапевтических программ. Оно проводится с учетом индивидуальных особенностей больного и включает информацию о заболевании, рекомендации по изменению образа жизни, снижению массы тела и необходимости выполнения физических упражнений.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слабых или умеренных болях в суставах без признаков воспаления показан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парацетамол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трамадол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пироксикам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ацеклофенак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парацетамол</w:t>
      </w:r>
    </w:p>
    <w:p>
      <w:pPr>
        <w:ind w:left="504"/>
      </w:pPr>
      <w:r>
        <w:rPr>
          <w:b w:val="0"/>
          <w:i/>
        </w:rPr>
        <w:t>При слабых или умеренных болях в суставах применяется парацетамол в минимальной эффективной дозе, но не выше 3,0 г/сут. (максимальная разовая доза должна не превышать 350 мг). Парацетамол можно применять длительно.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наличии признаков воспаления в период усиления болей для купирования болей применяют препараты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антифиброзирующие противовоспалительные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нестероидные противовоспалительные (НПВП)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местные противовоспалительные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стероидные противовоспалительные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нестероидные противовоспалительные (НПВП)</w:t>
      </w:r>
    </w:p>
    <w:p>
      <w:pPr>
        <w:ind w:left="504"/>
      </w:pPr>
      <w:r>
        <w:rPr>
          <w:b w:val="0"/>
          <w:i/>
        </w:rPr>
        <w:t>При сильной боли в суставах лечение следует начинать с НПВП в минимальной эффективной дозе с учетом риска развития НЛР. Для подавления боли при ОА коленных суставов и суставов кистей, не контролируемой приемом парацетамола, или при противопоказаниях к применению пероральному применению НПВП рекомендуются трансдермальные (локальные) их формы, которые должны использоваться в течение 2 нед с последующим перерывом, поскольку эффективность НПВП при более длительном приеме снижается.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болях в суставах и риске развития осложнений со стороны желудочно-кишечного тракта средствами выбора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неселективные нестероидные противовоспалительные препараты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селективные ингибиторы циклооксигеназы-2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местнораздражающие средства природного происхождения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неселективные ингибиторы моноаминоксидазы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селективные ингибиторы циклооксигеназы-2</w:t>
      </w:r>
    </w:p>
    <w:p>
      <w:pPr>
        <w:ind w:left="504"/>
      </w:pPr>
      <w:r>
        <w:rPr>
          <w:b w:val="0"/>
          <w:i/>
        </w:rPr>
        <w:t>При высокой вероятности развития НР со стороны ЖКТ – рекомендуется применение НПВП, механизм которых связан с преимущественным блокированием ЦОГ-2 (Коксибы, Оксикамы и Нестероидные противовоспалительные препараты другие) обязательно в сочетании с ИПП</w:t>
        <w:br/>
        <w:br/>
        <w:t>Гонартроз. Клинические рекомендации. Ассоциация травматологов-ортопедов России, Ассоциация ревматологов России, 2021</w:t>
        <w:br/>
        <w:br/>
      </w:r>
      <w:hyperlink r:id="rId23">
        <w:r>
          <w:rPr>
            <w:color w:val="0F766E"/>
            <w:u w:val="single"/>
          </w:rPr>
          <w:t>Клинические рекомендации Минздрава России. Гонартроз, 2021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наличии синовита коленных суставов назначают внутрисуставное введение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культуры клеток человека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гиалуроновой кислоты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аутоплазмы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глюкокортикоидов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глюкокортикоидов</w:t>
      </w:r>
    </w:p>
    <w:p>
      <w:pPr>
        <w:ind w:left="504"/>
      </w:pPr>
      <w:r>
        <w:rPr>
          <w:b w:val="0"/>
          <w:i/>
        </w:rPr>
        <w:t>Внутрисуставное введение ГК рекомендуется при ОА коленных суставов с синовитом: 1-2 инъекции в год метилпреднизолона (40 мг) или триамцинолона (20 или 40 мг).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Симптоматическими лекарственными средствами медленного действия со структурно модифицирующим воздействием на хрящ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кристаллический глюкозамин сульфат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хлорохин фосфат и гидроксихлорохин сульфат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генно-инженерные биологические препараты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синтетические базисные противовоспалительные препараты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кристаллический глюкозамин сульфат</w:t>
      </w:r>
    </w:p>
    <w:p>
      <w:pPr>
        <w:ind w:left="504"/>
      </w:pPr>
      <w:r>
        <w:rPr>
          <w:b w:val="0"/>
          <w:i/>
        </w:rPr>
        <w:t>На начальных стадиях заболевания и при множественном поражении суставов рекомендовано назначение хондроитина сульфат, глюкозамина, их комбинации, а также нестероидных противовоспалительных и противоревматических препаратов других</w:t>
        <w:br/>
        <w:br/>
        <w:t>Гонартроз. Клинические рекомендации. Ассоциация травматологов-ортопедов России, Ассоциация ревматологов России, 2021</w:t>
        <w:br/>
        <w:br/>
      </w:r>
      <w:hyperlink r:id="rId23">
        <w:r>
          <w:rPr>
            <w:color w:val="0F766E"/>
            <w:u w:val="single"/>
          </w:rPr>
          <w:t>Клинические рекомендации Минздрава России. Гонартроз, 2021</w:t>
        </w:r>
      </w:hyperlink>
      <w:r>
        <w:rPr>
          <w:b w:val="0"/>
          <w:i/>
        </w:rPr>
        <w:br/>
        <w:br/>
      </w:r>
      <w:hyperlink r:id="rId3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наличии выраженного синовита коленных суставов противопоказано внутрисуставное введение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гиалуроновой кислоты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триамцинолона ацетонида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гидрокортизона ацетата суспензии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бетаметазона дипропионата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гиалуроновой кислоты</w:t>
      </w:r>
    </w:p>
    <w:p>
      <w:pPr>
        <w:ind w:left="504"/>
      </w:pPr>
      <w:r>
        <w:rPr>
          <w:b w:val="0"/>
          <w:i/>
        </w:rPr>
        <w:t>Рекомендуется внутрисуставное введение протеза синовиальной жидкости на основе гиалуроната натрия для уменьшения боли и улучшения функции сустава при наличии инициативы со стороны пациента</w:t>
        <w:br/>
        <w:br/>
        <w:t>Гонартроз. Клинические рекомендации. Ассоциация травматологов-ортопедов России, Ассоциация ревматологов России, 2021</w:t>
        <w:br/>
        <w:br/>
      </w:r>
      <w:hyperlink r:id="rId23">
        <w:r>
          <w:rPr>
            <w:color w:val="0F766E"/>
            <w:u w:val="single"/>
          </w:rPr>
          <w:t>Клинические рекомендации Минздрава России. Гонартроз, 2021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Узелки гебердена являются проявлением остеоартроза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первого запястно-пястного сустава кисти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проксимальных межфаланговых суставов кисти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дистальных межфаланговых суставов кисти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первого плюснефалангового сустава стопы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дистальных межфаланговых суставов кисти</w:t>
      </w:r>
    </w:p>
    <w:p>
      <w:pPr>
        <w:ind w:left="504"/>
      </w:pPr>
      <w:r>
        <w:rPr>
          <w:b w:val="0"/>
          <w:i/>
        </w:rPr>
        <w:t>Поражение дистальных и проксимальных межфаланговых суставов при остео-артрите проявляется болью и постепенным формированием костных разрастаний (узелки Гебердена в дистальных межфаланговых и узелки Бушара в проксимальных межфаланговых суставах).</w:t>
        <w:br/>
        <w:br/>
      </w:r>
      <w:hyperlink r:id="rId39">
        <w:r>
          <w:rPr>
            <w:color w:val="0F766E"/>
            <w:u w:val="single"/>
          </w:rPr>
          <w:t>Федеральные клинические рекомендации по диагностике и лечению остеоартроза. Ассоциация ревматологов России, 2013</w:t>
        </w:r>
      </w:hyperlink>
      <w:r>
        <w:rPr>
          <w:b w:val="0"/>
          <w:i/>
        </w:rPr>
        <w:br/>
        <w:br/>
      </w:r>
      <w:hyperlink r:id="rId4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Узелки Бушара являются проявлением остеоартроза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пястно-фаланговых суставов кисти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дистальных межфаланговых суставов кисти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проксимальных межфаланговых суставов кисти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шиловидного отростка локтевой кости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проксимальных межфаланговых суставов кисти</w:t>
      </w:r>
    </w:p>
    <w:p>
      <w:pPr>
        <w:ind w:left="504"/>
      </w:pPr>
      <w:r>
        <w:rPr>
          <w:b w:val="0"/>
          <w:i/>
        </w:rPr>
        <w:t>Поражение дистальных и проксимальных межфаланговых суставов при остео-артрите проявляется болью и постепенным формированием костных разрастаний (узелки Гебердена в дистальных межфаланговых и узелки Бушара в проксимальных межфаланговых суставах).</w:t>
        <w:br/>
        <w:br/>
      </w:r>
      <w:hyperlink r:id="rId39">
        <w:r>
          <w:rPr>
            <w:color w:val="0F766E"/>
            <w:u w:val="single"/>
          </w:rPr>
          <w:t>Федеральные клинические рекомендации по диагностике и лечению остеоартроза. Ассоциация ревматологов России, 2013</w:t>
        </w:r>
      </w:hyperlink>
      <w:r>
        <w:rPr>
          <w:b w:val="0"/>
          <w:i/>
        </w:rPr>
        <w:br/>
        <w:br/>
      </w:r>
      <w:hyperlink r:id="rId40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42616/?anchor=list_item_gai7dd#list_item_gai7dd" TargetMode="External"/><Relationship Id="rId10" Type="http://schemas.openxmlformats.org/officeDocument/2006/relationships/hyperlink" Target="https://library.mededtech.ru/rest/documents/ISBN9785970442616/?anchor=list_item_p46v56#list_item_p46v56" TargetMode="External"/><Relationship Id="rId11" Type="http://schemas.openxmlformats.org/officeDocument/2006/relationships/hyperlink" Target="https://library.mededtech.ru/rest/documents/ISBN9785970442616/?anchor=list_item_3q7bo5#list_item_3q7bo5" TargetMode="External"/><Relationship Id="rId12" Type="http://schemas.openxmlformats.org/officeDocument/2006/relationships/hyperlink" Target="https://library.mededtech.ru/rest/documents/ISBN9785970442616/?anchor=paragraph_cp5bii#paragraph_cp5bii" TargetMode="External"/><Relationship Id="rId13" Type="http://schemas.openxmlformats.org/officeDocument/2006/relationships/hyperlink" Target="https://library.mededtech.ru/rest/documents/ISBN9785970442616/?anchor=paragraph_vj77k0#paragraph_vj77k0" TargetMode="External"/><Relationship Id="rId14" Type="http://schemas.openxmlformats.org/officeDocument/2006/relationships/hyperlink" Target="https://library.mededtech.ru/rest/documents/ISBN9785970458877/?anchor=paragraph_e6c6d0#paragraph_e6c6d0" TargetMode="External"/><Relationship Id="rId15" Type="http://schemas.openxmlformats.org/officeDocument/2006/relationships/hyperlink" Target="https://library.mededtech.ru/rest/documents/ISBN9785970442616/?anchor=list_item_i3skvl#list_item_i3skvl" TargetMode="External"/><Relationship Id="rId16" Type="http://schemas.openxmlformats.org/officeDocument/2006/relationships/hyperlink" Target="https://library.mededtech.ru/rest/documents/ISBN9785970442616/?anchor=list_item_5uucoq#list_item_5uucoq" TargetMode="External"/><Relationship Id="rId17" Type="http://schemas.openxmlformats.org/officeDocument/2006/relationships/hyperlink" Target="https://library.mededtech.ru/rest/documents/ISBN9785970442616/?anchor=paragraph_o4g5jq#paragraph_o4g5jq" TargetMode="External"/><Relationship Id="rId18" Type="http://schemas.openxmlformats.org/officeDocument/2006/relationships/hyperlink" Target="https://library.mededtech.ru/rest/documents/ISBN9785970442616/?anchor=list_item_bnvqg5#list_item_bnvqg5" TargetMode="External"/><Relationship Id="rId19" Type="http://schemas.openxmlformats.org/officeDocument/2006/relationships/hyperlink" Target="https://library.mededtech.ru/rest/documents/ISBN9785970442616/?anchor=list_item_aaj78a#list_item_aaj78a" TargetMode="External"/><Relationship Id="rId20" Type="http://schemas.openxmlformats.org/officeDocument/2006/relationships/hyperlink" Target="https://library.mededtech.ru/rest/documents/ISBN9785970442616/?anchor=list_item_egfsjf#list_item_egfsjf" TargetMode="External"/><Relationship Id="rId21" Type="http://schemas.openxmlformats.org/officeDocument/2006/relationships/image" Target="media/image1.jpg"/><Relationship Id="rId22" Type="http://schemas.openxmlformats.org/officeDocument/2006/relationships/image" Target="media/image2.jpg"/><Relationship Id="rId23" Type="http://schemas.openxmlformats.org/officeDocument/2006/relationships/hyperlink" Target="https://library.mededtech.ru/rest/documents/KP667/" TargetMode="External"/><Relationship Id="rId24" Type="http://schemas.openxmlformats.org/officeDocument/2006/relationships/hyperlink" Target="https://library.mededtech.ru/rest/documents/KP667/#paragraph_p7jclp" TargetMode="External"/><Relationship Id="rId25" Type="http://schemas.openxmlformats.org/officeDocument/2006/relationships/hyperlink" Target="https://library.mededtech.ru/rest/documents/KP667/#list_item_sv2epa" TargetMode="External"/><Relationship Id="rId26" Type="http://schemas.openxmlformats.org/officeDocument/2006/relationships/hyperlink" Target="https://library.mededtech.ru/rest/documents/ISBN9785970458877/?anchor=paragraph_7bh4lv#paragraph_7bh4lv" TargetMode="External"/><Relationship Id="rId27" Type="http://schemas.openxmlformats.org/officeDocument/2006/relationships/image" Target="media/image3.jpg"/><Relationship Id="rId28" Type="http://schemas.openxmlformats.org/officeDocument/2006/relationships/image" Target="media/image4.jpg"/><Relationship Id="rId29" Type="http://schemas.openxmlformats.org/officeDocument/2006/relationships/image" Target="media/image5.jpg"/><Relationship Id="rId30" Type="http://schemas.openxmlformats.org/officeDocument/2006/relationships/image" Target="media/image6.jpg"/><Relationship Id="rId31" Type="http://schemas.openxmlformats.org/officeDocument/2006/relationships/hyperlink" Target="https://library.mededtech.ru/rest/documents/ISBN9785970458877/?anchor=paragraph_h69afj#paragraph_h69afj" TargetMode="External"/><Relationship Id="rId32" Type="http://schemas.openxmlformats.org/officeDocument/2006/relationships/hyperlink" Target="https://library.mededtech.ru/rest/documents/ISBN9785970458877/?anchor=paragraph_2gpt7a#paragraph_2gpt7a" TargetMode="External"/><Relationship Id="rId33" Type="http://schemas.openxmlformats.org/officeDocument/2006/relationships/hyperlink" Target="https://library.mededtech.ru/rest/documents/ISBN9785970458877/?anchor=paragraph_3djj5c#paragraph_3djj5c" TargetMode="External"/><Relationship Id="rId34" Type="http://schemas.openxmlformats.org/officeDocument/2006/relationships/hyperlink" Target="https://library.mededtech.ru/rest/documents/ISBN9785970458877/?anchor=paragraph_3ednhl#paragraph_3ednhl" TargetMode="External"/><Relationship Id="rId35" Type="http://schemas.openxmlformats.org/officeDocument/2006/relationships/hyperlink" Target="https://library.mededtech.ru/rest/documents/KP667/#list_item_ht6ied" TargetMode="External"/><Relationship Id="rId36" Type="http://schemas.openxmlformats.org/officeDocument/2006/relationships/hyperlink" Target="https://library.mededtech.ru/rest/documents/ISBN9785970458877/?anchor=paragraph_ne2odg#paragraph_ne2odg" TargetMode="External"/><Relationship Id="rId37" Type="http://schemas.openxmlformats.org/officeDocument/2006/relationships/hyperlink" Target="https://library.mededtech.ru/rest/documents/KP667/#list_item_1aak1f" TargetMode="External"/><Relationship Id="rId38" Type="http://schemas.openxmlformats.org/officeDocument/2006/relationships/hyperlink" Target="https://library.mededtech.ru/rest/documents/KP667/#list_item_7ihl17" TargetMode="External"/><Relationship Id="rId39" Type="http://schemas.openxmlformats.org/officeDocument/2006/relationships/hyperlink" Target="https://library.mededtech.ru/rest/documents/rec_osteoartrit/" TargetMode="External"/><Relationship Id="rId40" Type="http://schemas.openxmlformats.org/officeDocument/2006/relationships/hyperlink" Target="https://library.mededtech.ru/rest/documents/rec_osteoartrit/index.html#list_item_7soj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